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CC" w:rsidRPr="00392BCC" w:rsidRDefault="00392BCC" w:rsidP="00392BCC">
      <w:pPr>
        <w:spacing w:line="288" w:lineRule="atLeast"/>
        <w:jc w:val="center"/>
        <w:outlineLvl w:val="1"/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</w:pPr>
      <w:r w:rsidRPr="00392BCC">
        <w:rPr>
          <w:rFonts w:ascii="Minion Pro" w:eastAsia="Times New Roman" w:hAnsi="Minion Pro" w:cs="Helvetica"/>
          <w:color w:val="3F7FC3"/>
          <w:sz w:val="33"/>
          <w:szCs w:val="33"/>
          <w:lang w:eastAsia="hr-HR"/>
        </w:rPr>
        <w:t>Pravilnik o organizaciji i provedbi produženoga boravka u osnovnoj školi</w:t>
      </w:r>
    </w:p>
    <w:p w:rsidR="00392BCC" w:rsidRPr="00392BCC" w:rsidRDefault="00392BCC" w:rsidP="00392BCC">
      <w:pPr>
        <w:spacing w:after="225" w:line="360" w:lineRule="atLeast"/>
        <w:jc w:val="center"/>
        <w:outlineLvl w:val="2"/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</w:pPr>
      <w:r w:rsidRPr="00392BCC">
        <w:rPr>
          <w:rFonts w:ascii="Helvetica" w:eastAsia="Times New Roman" w:hAnsi="Helvetica" w:cs="Helvetica"/>
          <w:vanish/>
          <w:color w:val="444444"/>
          <w:sz w:val="27"/>
          <w:szCs w:val="27"/>
          <w:lang w:eastAsia="hr-HR"/>
        </w:rPr>
        <w:t>NN 62/2019 (26.6.2019.), Pravilnik o organizaciji i provedbi produženoga boravka u osnovnoj školi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Ministarstvo znanosti i obrazovanja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1222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Na temelju članka 34.a stavka 3. Zakona o odgoju i obrazovanju u osnovnoj i srednjoj školi (»Narodne novine«, broj 87/08., 86/09., 92/10., 105/10. – </w:t>
      </w:r>
      <w:proofErr w:type="spellStart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ispr</w:t>
      </w:r>
      <w:proofErr w:type="spellEnd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., 90/11., 16/12., 86/12. 94/13., 152/14., 7/17. i 68/18.), ministrica znanosti i obrazovanja donosi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PRAVILNIK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 ORGANIZACIJI I PROVEDBI PRODUŽENOGA BORAVKA U OSNOVNOJ ŠKOLI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Opće odredbe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1.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(1) Ovim se Pravilnikom propisuje se organizacija i provedba produženoga boravka u osnovnoj školi (u daljnjem tekstu: škola).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Izrazi koji se koriste u ovome Pravilniku, a koji imaju rodno značenje, bez obzira na to jesu li korišteni u muškome ili ženskome rodu obuhvaćaju na jednak način i muški i ženski rod.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2.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Produženi boravak je posebni oblik odgojno-obrazovnoga rada koji se organizira za učenike izvan redovite nastave. Može se izvoditi i u vrijeme odmora za učenike, što se propisuje školskim kurikulumom i godišnjim planom i programom.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3.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Za organizaciju i način provedbe programa produženoga boravka nadležan je osnivač škole (u daljnjem tekstu: osnivač) sukladno odredbama ovoga Pravilnika i drugih propisa.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Obveze škole i osnivača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4.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(1) Škola u kojoj će se provoditi produženi boravak obvezna je osnivaču dostaviti zahtjev za provođenje produženoga boravka kojem se prilažu: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podaci o broju učenika prijavljenih za produženi boravak,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podaci o broju planiranih odgojno-obrazovnih skupina produženoga boravka,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dokazi o ispunjavanju uvjeta za provedbu produženoga boravka,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drugi podaci ili dokazi na traženje osnivača.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Osnivač škole utvrđuje potrebu provođenja produženoga boravka, ispunjenost prostornih, kadrovskih i drugih organizacijskih uvjeta te dogovara mogućnosti financiranja ili sufinanciranja produženoga boravka.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(3) Na temelju zahtjeva iz stavka 1. ovoga članka osnivač donosi odluku o kriterijima za uključivanje u produženi boravak, cijeni produženoga boravka te broju odgojno-obrazovnih skupina produženoga boravka u školama, u skladu s propisanim standardima osnovnoškolskoga sustava odgoja i obrazovanja i odredbama pravilnika kojim se utvrđuje broj učenika u razrednome odjelu i odgojno-obrazovnoj skupini.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(4) Škola koja uvodi produženi boravak dužna je zatražiti odobrenje ministarstva nadležnog za obrazovanje (u daljnjem tekstu: Ministarstvo) te priložiti suglasnost osnivača i dokumentaciju iz stavka 1. ovoga članka.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(5) Ministarstvo će dati odobrenje iz stavka 4. ovoga članka ako je produženi boravak organiziran na način koji osigurava svim učenicima škole nesmetano održavanje redovite nastave.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lastRenderedPageBreak/>
        <w:t>(6) Rokove za dostavljanje zahtjeva i dokumentacije utvrđuje osnivač, o čemu je dužan obavijestiti sve osnovne škole.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5.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Škola u kojoj se provodi produženi boravak, na temelju odluke i kriterija koje je donio osnivač: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obavještava roditelje/staratelje/skrbnike (u daljnjem tekstu: roditelj) o načinu i vremenu prijave djeteta za produženi boravak, cijeni produženoga boravka te organizaciji i izvođenju produženoga boravka,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sukladno kriterijima koje je donio osnivač utvrđuje listu učenika koji ostvaruju pravo uključivanja u program produženoga boravka u slučaju da se prijavi veći broja učenika od planiranoga u skladu s mogućnostima i propisanim uvjetima,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sklapa ugovor s roditeljima učenika o uključivanju učenika u produženi boravak te obvezama roditelja.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Godišnji izvedbeni kurikulum produženoga boravka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6.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(1) Godišnji izvedbeni kurikulum produženoga boravka izrađuje učitelj u produženome boravku u suradnji sa stručnim suradnicima škole i učiteljima učenika uključenih u produženi boravak te je sastavni dio školskoga kurikuluma.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U godišnjem izvedbenom kurikulumu produženoga boravka okvirno se utvrđuje vrijeme za: dežurstvo, učenje, ponavljanje i uvježbavanje sadržaja iz redovite nastave i izradu domaćih zadaća, prehranu, aktivnosti za provođenje organiziranoga vremena, odmor učenika i ostale aktivnosti tijekom školske godine.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(3) Godišnjim izvedbenim kurikulumom produženoga boravka utvrđuju se: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– ishodi učenja i izrade domaćih zadaća kao nastavak rada na ostvarivanju odgojno-obrazovnih ishoda svih predmeta te </w:t>
      </w:r>
      <w:proofErr w:type="spellStart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međupredmetnih</w:t>
      </w:r>
      <w:proofErr w:type="spellEnd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 xml:space="preserve"> tema i područja kurikuluma koje učenik treba usvojiti;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ciljevi i očekivani ishodi te preporuke za ostvarivanje aktivnosti koje će se s učenicima provoditi u organizirano vrijeme u skladu s njihovim interesima i potrebama;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ciljevi, očekivani ishodi, plan realizacije te preporuke za ostvarivanje aktivnosti iz sportskog, prirodoslovno-matematičkog ili umjetničkog područja koje će se s učenicima provoditi za vrijeme odmora za učenike.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7.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(1) Učitelj u produženome boravku priprema, organizira i provodi neposredni odgojno-obrazovni rad s učenicima.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Učitelj u produženome boravku osim neposrednoga odgojno-obrazovnog rada dužan je: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surađivati s učiteljima iz redovite nastave u svakodnevnoj komunikaciji razmjenjujući informacije, vezano uz realizaciju nastavnoga programa ili predmetnih kurikuluma i školskoga kurikuluma te komunicirati i surađivati sa stručnim suradnicima škole,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organizirati roditeljske sastanke za roditelje učenika uključene u produženi boravak te davati informacije roditeljima,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voditi pedagošku dokumentaciju o učenicima u skladu s pravilnikom kojim se ona uređuje,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dežurati prije početka produženoga boravka ako svi učenici ne završavaju s redovitom nastavom u isto vrijeme (sukladno redovitim tjednim poslovima koji proizlaze iz neposrednoga odgojno-obrazovnog rada),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sudjelovati na sjednicama te u radu stručnih tijela škole,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– obavljati i druge poslove u skladu s propisima i po nalogu ravnatelja.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8.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lastRenderedPageBreak/>
        <w:t>Učitelj u produženome boravku zadužen s 25 sunčanih sati neposrednoga odgojno-obrazovnog rada tjedno u skladu s propisima ostvaruje puno radno vrijeme od 40 sati tjedno kojima se zadužuje sukladno odredbama ovoga Pravilnika i propisima kojima se propisuju tjedne radne obveze učitelja u osnovnoj školi.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Financiranje produženoga boravka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9.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(1) Produženi boravak u školi financira se i/ili sufinancira sredstvima jedinice lokalne, odnosno područne (regionalne) samouprave, iz drugih izvora te uplatama roditelja učenika uključenih u produženi boravak.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Troškovi provedbe produženoga boravka uključuju troškove prehrane učenika, didaktičkoga materijala i pribora te troškove za plaće i ostala materijalna prava radnika u produženome boravku koja ostvaruju u skladu s odredbama kolektivnih ugovora koji se primjenjuju u osnovnoškolskim ustanovama.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Prijelazne i završne odredbe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10.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Škole koje na dan stupanja na snagu ovoga Pravilnika provode program produženoga boravka nisu dužne tražiti odobrenje Ministarstva iz članka 4. stavka 4. ovoga Pravilnika.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11.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Ovaj Pravilnik stupa na snagu osmoga dana od dana objave u »Narodnim novinama«.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Klasa: 602-02/18-06/00618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proofErr w:type="spellStart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Urbroj</w:t>
      </w:r>
      <w:proofErr w:type="spellEnd"/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: 533-05-19-0008</w:t>
      </w:r>
    </w:p>
    <w:p w:rsidR="00392BCC" w:rsidRPr="00392BCC" w:rsidRDefault="00392BCC" w:rsidP="00392BCC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Zagreb, 10. lipnja 2019.</w:t>
      </w:r>
    </w:p>
    <w:p w:rsidR="00392BCC" w:rsidRPr="00392BCC" w:rsidRDefault="00392BCC" w:rsidP="00392BCC">
      <w:pPr>
        <w:spacing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Ministrica</w:t>
      </w: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br/>
      </w:r>
      <w:r w:rsidRPr="00392BCC">
        <w:rPr>
          <w:rFonts w:ascii="Calibri" w:eastAsia="Times New Roman" w:hAnsi="Calibri" w:cs="Helvetica"/>
          <w:b/>
          <w:bCs/>
          <w:color w:val="666666"/>
          <w:sz w:val="20"/>
          <w:szCs w:val="20"/>
          <w:lang w:eastAsia="hr-HR"/>
        </w:rPr>
        <w:t xml:space="preserve">prof. dr. sc. Blaženka Divjak, </w:t>
      </w:r>
      <w:r w:rsidRPr="00392BCC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v. r.</w:t>
      </w:r>
    </w:p>
    <w:p w:rsidR="00392BCC" w:rsidRPr="00392BCC" w:rsidRDefault="00392BCC" w:rsidP="00392BCC">
      <w:pPr>
        <w:shd w:val="clear" w:color="auto" w:fill="F4F4F6"/>
        <w:spacing w:after="0" w:line="240" w:lineRule="auto"/>
        <w:jc w:val="center"/>
        <w:rPr>
          <w:rFonts w:ascii="Calibri" w:eastAsia="Times New Roman" w:hAnsi="Calibri" w:cs="Helvetica"/>
          <w:vanish/>
          <w:color w:val="666666"/>
          <w:sz w:val="21"/>
          <w:szCs w:val="21"/>
          <w:lang w:eastAsia="hr-HR"/>
        </w:rPr>
      </w:pPr>
      <w:r w:rsidRPr="00392BCC">
        <w:rPr>
          <w:rFonts w:ascii="Calibri" w:eastAsia="Times New Roman" w:hAnsi="Calibri" w:cs="Helvetica"/>
          <w:vanish/>
          <w:color w:val="666666"/>
          <w:sz w:val="21"/>
          <w:szCs w:val="21"/>
          <w:lang w:eastAsia="hr-HR"/>
        </w:rPr>
        <w:t xml:space="preserve">Pravilnik, NN 62/2019-1222 </w:t>
      </w:r>
    </w:p>
    <w:p w:rsidR="00392BCC" w:rsidRPr="00392BCC" w:rsidRDefault="00392BCC" w:rsidP="00392BCC">
      <w:pPr>
        <w:shd w:val="clear" w:color="auto" w:fill="F4F4F6"/>
        <w:spacing w:line="240" w:lineRule="auto"/>
        <w:jc w:val="center"/>
        <w:rPr>
          <w:rFonts w:ascii="Calibri" w:eastAsia="Times New Roman" w:hAnsi="Calibri" w:cs="Helvetica"/>
          <w:vanish/>
          <w:color w:val="666666"/>
          <w:sz w:val="21"/>
          <w:szCs w:val="21"/>
          <w:lang w:eastAsia="hr-HR"/>
        </w:rPr>
      </w:pPr>
      <w:r w:rsidRPr="00392BCC">
        <w:rPr>
          <w:rFonts w:ascii="Calibri" w:eastAsia="Times New Roman" w:hAnsi="Calibri" w:cs="Helvetica"/>
          <w:vanish/>
          <w:color w:val="666666"/>
          <w:sz w:val="21"/>
          <w:szCs w:val="21"/>
          <w:lang w:eastAsia="hr-HR"/>
        </w:rPr>
        <w:t xml:space="preserve">Više </w:t>
      </w:r>
    </w:p>
    <w:tbl>
      <w:tblPr>
        <w:tblW w:w="5000" w:type="pct"/>
        <w:jc w:val="center"/>
        <w:tblCellSpacing w:w="15" w:type="dxa"/>
        <w:tblCellMar>
          <w:top w:w="300" w:type="dxa"/>
          <w:left w:w="375" w:type="dxa"/>
          <w:bottom w:w="15" w:type="dxa"/>
          <w:right w:w="375" w:type="dxa"/>
        </w:tblCellMar>
        <w:tblLook w:val="04A0" w:firstRow="1" w:lastRow="0" w:firstColumn="1" w:lastColumn="0" w:noHBand="0" w:noVBand="1"/>
      </w:tblPr>
      <w:tblGrid>
        <w:gridCol w:w="9882"/>
      </w:tblGrid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Dio NN: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Službeni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Vrsta dokumenta: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Pravilnik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Izdanje: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NN 62/2019   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Broj dokumenta u izdanju: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1222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Stranica tiskanog izdanja: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42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Donositelj: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>Ministarstvo znanosti i obrazovanja</w:t>
            </w:r>
          </w:p>
        </w:tc>
      </w:tr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  <w:r w:rsidRPr="00392BCC">
              <w:rPr>
                <w:rFonts w:ascii="Calibri" w:eastAsia="Times New Roman" w:hAnsi="Calibri" w:cs="Times New Roman"/>
                <w:color w:val="666666"/>
                <w:sz w:val="23"/>
                <w:szCs w:val="23"/>
                <w:lang w:eastAsia="hr-HR"/>
              </w:rPr>
              <w:t>Datum tiskanog izdanja:</w:t>
            </w:r>
            <w:r w:rsidRPr="00392BC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  <w:t xml:space="preserve"> 26.6.2019.</w:t>
            </w:r>
          </w:p>
        </w:tc>
      </w:tr>
    </w:tbl>
    <w:p w:rsidR="00392BCC" w:rsidRPr="00392BCC" w:rsidRDefault="00392BCC" w:rsidP="00392BCC">
      <w:pPr>
        <w:shd w:val="clear" w:color="auto" w:fill="F4F4F6"/>
        <w:spacing w:line="240" w:lineRule="auto"/>
        <w:jc w:val="center"/>
        <w:rPr>
          <w:rFonts w:ascii="Calibri" w:eastAsia="Times New Roman" w:hAnsi="Calibri" w:cs="Helvetica"/>
          <w:vanish/>
          <w:color w:val="666666"/>
          <w:sz w:val="21"/>
          <w:szCs w:val="21"/>
          <w:lang w:eastAsia="hr-H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37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392BCC" w:rsidRPr="00392BCC" w:rsidTr="00392B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92BCC" w:rsidRPr="00392BCC" w:rsidRDefault="00392BCC" w:rsidP="00392BCC">
            <w:pPr>
              <w:spacing w:after="0" w:line="384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392BCC" w:rsidRPr="00392BCC" w:rsidRDefault="00392BCC" w:rsidP="00392BCC">
      <w:pPr>
        <w:shd w:val="clear" w:color="auto" w:fill="F4F4F6"/>
        <w:spacing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u w:val="single"/>
          <w:lang w:eastAsia="hr-HR"/>
        </w:rPr>
      </w:pPr>
      <w:hyperlink r:id="rId5" w:tgtFrame="_blank" w:history="1">
        <w:r w:rsidRPr="00392BCC">
          <w:rPr>
            <w:rFonts w:ascii="Calibri" w:eastAsia="Times New Roman" w:hAnsi="Calibri" w:cs="Helvetica"/>
            <w:color w:val="666666"/>
            <w:sz w:val="21"/>
            <w:szCs w:val="21"/>
            <w:lang w:eastAsia="hr-HR"/>
          </w:rPr>
          <w:t>Prikaz na čitavom ekranu</w:t>
        </w:r>
      </w:hyperlink>
    </w:p>
    <w:p w:rsidR="00392BCC" w:rsidRPr="00392BCC" w:rsidRDefault="00392BCC" w:rsidP="00392BCC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Opći uvjeti korištenja</w:t>
      </w:r>
    </w:p>
    <w:p w:rsidR="00392BCC" w:rsidRPr="00392BCC" w:rsidRDefault="00392BCC" w:rsidP="00392BCC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Zaštita privatnosti</w:t>
      </w:r>
    </w:p>
    <w:p w:rsidR="00392BCC" w:rsidRPr="00392BCC" w:rsidRDefault="00392BCC" w:rsidP="00392BCC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392BCC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lastRenderedPageBreak/>
        <w:t xml:space="preserve">© 2017.g. Narodne novine </w:t>
      </w:r>
    </w:p>
    <w:p w:rsidR="00BF5CB5" w:rsidRDefault="00BF5CB5">
      <w:bookmarkStart w:id="0" w:name="_GoBack"/>
      <w:bookmarkEnd w:id="0"/>
    </w:p>
    <w:sectPr w:rsidR="00BF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C"/>
    <w:rsid w:val="00392BCC"/>
    <w:rsid w:val="00B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29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891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937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9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980">
                              <w:marLeft w:val="675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4E4E6"/>
                                <w:left w:val="single" w:sz="6" w:space="0" w:color="E4E4E6"/>
                                <w:bottom w:val="single" w:sz="6" w:space="18" w:color="E4E4E6"/>
                                <w:right w:val="single" w:sz="6" w:space="0" w:color="E4E4E6"/>
                              </w:divBdr>
                              <w:divsChild>
                                <w:div w:id="11974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6922">
                                  <w:marLeft w:val="37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736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full/2019_06_62_12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2019-06-27T08:10:00Z</dcterms:created>
  <dcterms:modified xsi:type="dcterms:W3CDTF">2019-06-27T08:11:00Z</dcterms:modified>
</cp:coreProperties>
</file>